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</w:rPr>
        <w:t>附件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 简阳市雄州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劳务有限公司公开招聘劳务派遣人员报名表</w:t>
      </w:r>
    </w:p>
    <w:tbl>
      <w:tblPr>
        <w:tblStyle w:val="6"/>
        <w:tblpPr w:leftFromText="180" w:rightFromText="180" w:vertAnchor="page" w:horzAnchor="page" w:tblpX="515" w:tblpY="1980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143"/>
        <w:gridCol w:w="1333"/>
        <w:gridCol w:w="1232"/>
        <w:gridCol w:w="1342"/>
        <w:gridCol w:w="1220"/>
        <w:gridCol w:w="103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Cs w:val="21"/>
                <w:u w:val="none"/>
                <w:lang w:val="en-US" w:eastAsia="zh-CN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34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14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34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3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2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505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25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5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60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1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14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2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3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日期：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375CD"/>
    <w:rsid w:val="3560625E"/>
    <w:rsid w:val="55AF40B6"/>
    <w:rsid w:val="6C424394"/>
    <w:rsid w:val="71D375CD"/>
    <w:rsid w:val="7A2F60D3"/>
    <w:rsid w:val="7BA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2020-07-10T06:29:00Z</dcterms:created>
  <dc:creator>ww</dc:creator>
  <cp:lastModifiedBy>琴声</cp:lastModifiedBy>
  <dcterms:modified xsi:type="dcterms:W3CDTF">2020-07-10T07:10:27Z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