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eastAsia="方正小标宋简体"/>
          <w:sz w:val="44"/>
          <w:szCs w:val="44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黑体" w:cs="黑体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简阳市西部电商物流产业功能区管委会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2021年公开招聘员额内编外聘用人员岗位表</w:t>
      </w:r>
    </w:p>
    <w:tbl>
      <w:tblPr>
        <w:tblStyle w:val="8"/>
        <w:tblW w:w="15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50"/>
        <w:gridCol w:w="614"/>
        <w:gridCol w:w="741"/>
        <w:gridCol w:w="1070"/>
        <w:gridCol w:w="3852"/>
        <w:gridCol w:w="652"/>
        <w:gridCol w:w="1325"/>
        <w:gridCol w:w="1075"/>
        <w:gridCol w:w="1713"/>
        <w:gridCol w:w="3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招聘名额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岗位代码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岗位名称</w:t>
            </w:r>
          </w:p>
        </w:tc>
        <w:tc>
          <w:tcPr>
            <w:tcW w:w="3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岗位简介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招聘岗位应聘资格条件</w:t>
            </w:r>
          </w:p>
        </w:tc>
        <w:tc>
          <w:tcPr>
            <w:tcW w:w="3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3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招聘</w:t>
            </w:r>
            <w:r>
              <w:rPr>
                <w:rFonts w:hint="eastAsia" w:asci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kern w:val="0"/>
                <w:sz w:val="24"/>
              </w:rPr>
              <w:t>范围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年龄</w:t>
            </w:r>
          </w:p>
        </w:tc>
        <w:tc>
          <w:tcPr>
            <w:tcW w:w="3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简阳市西部电商物流产业功能区管委会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城乡规划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负责功能区各项规划的编制、推进、落实，开展规划建设相关课题调研（研究）；开展重大功能性项目、基础设施和公共设施的规划等工作；建筑设计相关工作。完成党工委管委会交办的其他工作。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建筑学、城乡规划学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熟悉规划建设相关工作，具有规划建设管理相关工作经验；具有较强的公文写作能力和团队协作意识；要求熟练操作AutoCAD、Photoshop相关软件。需服从岗位调配。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建设工程及管理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负责工程管理及各类建筑工程相关工作；开展重大功能性项目、基础设施和公共设施的建设等工作。完成党工委管委会交办的其他工作。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熟悉规划建设相关工作，具有规划建设管理相关工作经验；具有较强的公文写作能力和团队协作意识；要求熟练操作AutoCAD相关软件；需服从岗位调配。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03-03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土地事务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负责园区内土地规划、征地、供地、资源利用管理等相关工作。完成党工委管委会交办的其他事项。完成党工委管委会交办的其他工作。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土地资源管理、地图学与地理信息系统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熟悉土地资源管理、国土资源信息化建设、智慧城市建设等工作，具有国土管理相关工作经验；具有较强的公文写作能力和团队协作意识；要求熟练操作ArcGis、AutoCAD等相关软件。需服从岗位调配。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产业发展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负责功能区主导产业规划研究；推进功能区主导产业的丰富和完善；促进产业发展等相关工作。完成党工委管委会交办的其他工作。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要求具备电商领域专业知识，对产业链及产业布局等有一定见解；具有在电商领域从业经验。需服从岗位调配。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03-05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产业发展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负责功能区商务会展、商务接待、外贸等相关工作。完成党工委管委会交办的其他工作。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国际商务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要求掌握国际商贸相关知识，具备较好的商务礼仪、外语应用能力等。需服从岗位调配。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简阳市西部电商物流产业功能区管委会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03-06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产业发展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（三）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负责功能区电商物流及供应链等相关配套产业的招引、建设和服务等工作。完成党工委管委会交办的其他工作。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物流管理、物流与供应链管理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要求具备物流、供应链管理等领域的专业知识，对行业发展趋势有一定的洞察能力。需服从岗位调配。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运营管理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（一）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负责功能区创新、孵化等工作，引育创新创业人才；负责校院企地合作，推进成果转化、融合创新等工作。完成党工委管委会交办的其他工作。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产业经济学、区域经济学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要求具有创新思维，对双创理念、运管有一定认识和研究。需服从岗位调配。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运营管理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（二）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负责功能区跨境电商、机场运输物流体系研究及应用工作；开展功能区保税区申报、运行相关工作。负责通道拓展及相关政策研究。完成党工委管委会交办的其他工作。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国际贸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易学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要求具备一定的临空经济产业运营管理能力。需服从岗位调配。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运营管理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（三）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负责功能区减税降费、税源涵养及税收情况分析；经济运行分析；经统数据的综合分析平衡；企业金融服务、风险控制、搭建银企对接平台等工作。完成党工委管委会交办的其他工作。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要求具备一定的临空经济产业运营管理能力。需服从岗位调配。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03-10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运营管理</w:t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（四）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负责研究完善功能区产业政策、经济运行分析，促进企业转型提能、加强品牌建设；负责功能区内校院企地合作；负责三方公司管理。完成党工委管委会交办的其他工作。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统计学、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应用统计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要求具备较强的经济分析和研判能力、统筹协调能力。需服从岗位调配。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03-11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综合管理</w:t>
            </w:r>
          </w:p>
        </w:tc>
        <w:tc>
          <w:tcPr>
            <w:tcW w:w="3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负责政务宣传、综合性文稿以及目标管理、办文办会等日常工作。完成党工委管委会交办的其他工作。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全国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普通高等院校全日制硕士研究生及以上学历。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汉语言文字学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硕士研究生：35周岁及以下；博士研究生：38周岁及以下</w:t>
            </w:r>
          </w:p>
        </w:tc>
        <w:tc>
          <w:tcPr>
            <w:tcW w:w="3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0"/>
                <w:sz w:val="21"/>
                <w:szCs w:val="21"/>
              </w:rPr>
              <w:t>要求具有机关事业单位、国企、央企工作经历,具备较强的文字功底和综合协调能力，能够独立承担业务工作。需服从岗位调配。</w:t>
            </w:r>
          </w:p>
        </w:tc>
      </w:tr>
    </w:tbl>
    <w:p>
      <w:pPr>
        <w:widowControl/>
        <w:tabs>
          <w:tab w:val="left" w:pos="851"/>
        </w:tabs>
        <w:spacing w:line="240" w:lineRule="atLeast"/>
        <w:ind w:firstLine="420" w:firstLineChars="200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注：1.关于2017年后全日制研究生的界定：自2017年起，全日制和非全日制研究生由国家统一下达招生计划，考试招生执行相同的政</w:t>
      </w:r>
    </w:p>
    <w:p>
      <w:pPr>
        <w:widowControl/>
        <w:spacing w:line="240" w:lineRule="atLeast"/>
        <w:ind w:firstLine="989" w:firstLineChars="471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策和标准，培养质量坚持统一要求，学历学位证书具有同等法律地位和相同效力。</w:t>
      </w:r>
    </w:p>
    <w:p>
      <w:pPr>
        <w:widowControl/>
        <w:spacing w:line="240" w:lineRule="atLeast"/>
        <w:ind w:firstLine="840" w:firstLineChars="4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sectPr>
          <w:footerReference r:id="rId3" w:type="default"/>
          <w:pgSz w:w="16838" w:h="11906" w:orient="landscape"/>
          <w:pgMar w:top="1519" w:right="1440" w:bottom="1519" w:left="1440" w:header="851" w:footer="992" w:gutter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</w:rPr>
        <w:t>2.薪酬：约</w:t>
      </w:r>
      <w:r>
        <w:rPr>
          <w:rFonts w:hint="eastAsia" w:ascii="宋体" w:hAnsi="宋体" w:eastAsia="宋体" w:cs="宋体"/>
          <w:b/>
          <w:kern w:val="0"/>
        </w:rPr>
        <w:t>15万元</w:t>
      </w:r>
      <w:r>
        <w:rPr>
          <w:rFonts w:hint="eastAsia" w:ascii="宋体" w:hAnsi="宋体" w:eastAsia="宋体" w:cs="宋体"/>
          <w:kern w:val="0"/>
        </w:rPr>
        <w:t>/年</w:t>
      </w:r>
      <w:r>
        <w:rPr>
          <w:rFonts w:hint="eastAsia" w:ascii="宋体" w:hAnsi="宋体" w:eastAsia="宋体" w:cs="宋体"/>
          <w:b/>
          <w:kern w:val="0"/>
        </w:rPr>
        <w:t>（</w:t>
      </w:r>
      <w:r>
        <w:rPr>
          <w:rFonts w:hint="eastAsia" w:ascii="宋体" w:hAnsi="宋体" w:eastAsia="宋体" w:cs="宋体"/>
          <w:b/>
        </w:rPr>
        <w:t>不含单位缴纳的“五险一金”、差旅、通讯补助及我市人才引进政策规定的安家补贴、人才津贴等费用</w:t>
      </w:r>
      <w:r>
        <w:rPr>
          <w:rFonts w:hint="eastAsia" w:ascii="宋体" w:hAnsi="宋体" w:eastAsia="宋体" w:cs="宋体"/>
          <w:b/>
          <w:kern w:val="0"/>
        </w:rPr>
        <w:t>）</w:t>
      </w:r>
      <w:bookmarkStart w:id="0" w:name="_GoBack"/>
      <w:bookmarkEnd w:id="0"/>
    </w:p>
    <w:p>
      <w:pPr>
        <w:shd w:val="clear" w:color="auto" w:fill="FFFFFF"/>
        <w:spacing w:line="550" w:lineRule="exact"/>
        <w:jc w:val="lef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4" w:type="default"/>
      <w:pgSz w:w="11906" w:h="16838"/>
      <w:pgMar w:top="1440" w:right="1519" w:bottom="1440" w:left="1519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E7754FC"/>
    <w:rsid w:val="65383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17</Pages>
  <Words>8388</Words>
  <Characters>8901</Characters>
  <Lines>956</Lines>
  <Paragraphs>430</Paragraphs>
  <TotalTime>1</TotalTime>
  <ScaleCrop>false</ScaleCrop>
  <LinksUpToDate>false</LinksUpToDate>
  <CharactersWithSpaces>9034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2021-02-23T02:01:00Z</dcterms:created>
  <dc:creator>realistic</dc:creator>
  <cp:lastModifiedBy>琴声</cp:lastModifiedBy>
  <cp:lastPrinted>2021-03-03T01:14:00Z</cp:lastPrinted>
  <dcterms:modified xsi:type="dcterms:W3CDTF">2021-03-08T04:29:05Z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