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附件1</w:t>
      </w:r>
    </w:p>
    <w:p>
      <w:pPr>
        <w:pStyle w:val="6"/>
        <w:widowControl/>
        <w:shd w:val="clear" w:color="auto" w:fill="FFFFFF"/>
        <w:snapToGrid w:val="0"/>
        <w:spacing w:beforeAutospacing="0" w:afterAutospacing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四川阳安交通投资有限公司公开招聘专业技术人员岗位表</w:t>
      </w:r>
    </w:p>
    <w:tbl>
      <w:tblPr>
        <w:tblStyle w:val="7"/>
        <w:tblW w:w="16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49"/>
        <w:gridCol w:w="767"/>
        <w:gridCol w:w="3687"/>
        <w:gridCol w:w="6211"/>
        <w:gridCol w:w="4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Header/>
          <w:jc w:val="center"/>
        </w:trPr>
        <w:tc>
          <w:tcPr>
            <w:tcW w:w="73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749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368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岗位简介</w:t>
            </w:r>
          </w:p>
        </w:tc>
        <w:tc>
          <w:tcPr>
            <w:tcW w:w="6211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岗位要求</w:t>
            </w:r>
          </w:p>
        </w:tc>
        <w:tc>
          <w:tcPr>
            <w:tcW w:w="4169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ind w:firstLine="795" w:firstLineChars="30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3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49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工程管理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68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负责协助部门负责人贯彻施工组织计划，做好施工现场管理、项目变更管理、竣工验收、审计、档案管理等相关工作</w:t>
            </w:r>
          </w:p>
        </w:tc>
        <w:tc>
          <w:tcPr>
            <w:tcW w:w="6211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1.学历：全日制本科及以上学历；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2.专业：工程管理、建筑学、城乡规划、土木工程、道路桥梁工程、市政工程；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3.年龄：35周岁及以下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4.其他：持有二级或以上建造师证书</w:t>
            </w:r>
          </w:p>
        </w:tc>
        <w:tc>
          <w:tcPr>
            <w:tcW w:w="4169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具有一级建造师证书或5年及以上工程管理工作经验的，可适当放宽年龄、学历、专业等条件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73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49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工程造价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68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负责完成项目造价相关工作</w:t>
            </w:r>
          </w:p>
        </w:tc>
        <w:tc>
          <w:tcPr>
            <w:tcW w:w="6211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1.学历：全日制本科及以上学历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2.专业：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工程造价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3.年龄：35周岁及以下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4.其他：持有工程造价员或以上资格证书</w:t>
            </w:r>
          </w:p>
        </w:tc>
        <w:tc>
          <w:tcPr>
            <w:tcW w:w="4169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具有注册造价工程师证书或5年及以上工程造价工作经验的，可适当放宽年龄、学历、专业等条件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财务管理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687" w:type="dxa"/>
            <w:shd w:val="clear" w:color="auto" w:fill="FFFFFF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负责协助部门负责人做好财务管理等相关工作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1.学历：全日制本科及以上学历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2.专业：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审计学、会计、财务管理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3.年龄：35周岁及以下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4.4.其他：持有初级会计师或以上证书</w:t>
            </w:r>
          </w:p>
        </w:tc>
        <w:tc>
          <w:tcPr>
            <w:tcW w:w="4169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具有中级会计师及以上证书或5年及以上财会工作经验的，可适当放宽年龄、学历、专业等条件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3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749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融资</w:t>
            </w:r>
          </w:p>
        </w:tc>
        <w:tc>
          <w:tcPr>
            <w:tcW w:w="76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687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参与政策性银行、商业银行、各金融机构的对接谈判</w:t>
            </w:r>
          </w:p>
        </w:tc>
        <w:tc>
          <w:tcPr>
            <w:tcW w:w="6211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1.学历：全日制本科及以上学历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2.专业：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财会、金融、经济类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3.年龄：35周岁及以下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4169" w:type="dxa"/>
            <w:vAlign w:val="center"/>
          </w:tcPr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具有5年及以上金融或财会工作经验的，可适当放宽年龄、学历、专业等条件</w:t>
            </w:r>
          </w:p>
        </w:tc>
      </w:tr>
    </w:tbl>
    <w:p>
      <w:pPr>
        <w:pStyle w:val="6"/>
        <w:widowControl/>
        <w:shd w:val="clear" w:color="auto" w:fill="FFFFFF"/>
        <w:snapToGrid w:val="0"/>
        <w:spacing w:beforeAutospacing="0" w:afterAutospacing="0" w:line="360" w:lineRule="auto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注：1.年龄“35周岁及以下”是指1985年9月9日以后出生（不含9月9日）。年龄以有效身份证记载为准；</w:t>
      </w:r>
    </w:p>
    <w:p>
      <w:pPr>
        <w:pStyle w:val="6"/>
        <w:widowControl/>
        <w:shd w:val="clear" w:color="auto" w:fill="FFFFFF"/>
        <w:snapToGrid w:val="0"/>
        <w:spacing w:beforeAutospacing="0" w:afterAutospacing="0" w:line="360" w:lineRule="auto"/>
        <w:jc w:val="both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footerReference r:id="rId3" w:type="default"/>
          <w:pgSz w:w="16838" w:h="11906" w:orient="landscape"/>
          <w:pgMar w:top="1588" w:right="2098" w:bottom="1474" w:left="1984" w:header="851" w:footer="1400" w:gutter="0"/>
          <w:cols w:space="425" w:num="1"/>
          <w:docGrid w:type="linesAndChars" w:linePitch="579" w:charSpace="-3080"/>
        </w:sect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2.一人只可报考一个岗位，不可同时报考其他岗位。</w:t>
      </w:r>
      <w:bookmarkStart w:id="0" w:name="_GoBack"/>
      <w:bookmarkEnd w:id="0"/>
    </w:p>
    <w:p>
      <w:pPr>
        <w:pStyle w:val="6"/>
        <w:widowControl/>
        <w:shd w:val="clear" w:color="auto" w:fill="FFFFFF"/>
        <w:snapToGrid w:val="0"/>
        <w:spacing w:beforeAutospacing="0" w:afterAutospacing="0"/>
        <w:jc w:val="both"/>
        <w:rPr>
          <w:rFonts w:hint="default" w:ascii="方正小标宋简体" w:hAnsi="微软雅黑" w:eastAsia="方正小标宋简体" w:cs="微软雅黑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1116"/>
    <w:rsid w:val="02B77DB8"/>
    <w:rsid w:val="03780844"/>
    <w:rsid w:val="067131F0"/>
    <w:rsid w:val="06D4361F"/>
    <w:rsid w:val="073A637B"/>
    <w:rsid w:val="08061F6F"/>
    <w:rsid w:val="0BD805AA"/>
    <w:rsid w:val="150D5186"/>
    <w:rsid w:val="1585545A"/>
    <w:rsid w:val="1B816ACE"/>
    <w:rsid w:val="1D8603B1"/>
    <w:rsid w:val="1DAD356E"/>
    <w:rsid w:val="1EFF521C"/>
    <w:rsid w:val="208A1313"/>
    <w:rsid w:val="28172D6C"/>
    <w:rsid w:val="2A604980"/>
    <w:rsid w:val="2AAC5A85"/>
    <w:rsid w:val="2F5A748D"/>
    <w:rsid w:val="302A1E90"/>
    <w:rsid w:val="32CC4622"/>
    <w:rsid w:val="38227BFA"/>
    <w:rsid w:val="394D5403"/>
    <w:rsid w:val="395A2BFC"/>
    <w:rsid w:val="3DEF29FF"/>
    <w:rsid w:val="452C21A2"/>
    <w:rsid w:val="4C0E1B20"/>
    <w:rsid w:val="4D083E14"/>
    <w:rsid w:val="4D1C6403"/>
    <w:rsid w:val="4D4E3CEA"/>
    <w:rsid w:val="4E841437"/>
    <w:rsid w:val="4E8B1568"/>
    <w:rsid w:val="4FC53E8B"/>
    <w:rsid w:val="4FFE237A"/>
    <w:rsid w:val="51934769"/>
    <w:rsid w:val="543545B2"/>
    <w:rsid w:val="55FE2337"/>
    <w:rsid w:val="58F05BB0"/>
    <w:rsid w:val="5A5A3530"/>
    <w:rsid w:val="5AEE34D4"/>
    <w:rsid w:val="5D7F762E"/>
    <w:rsid w:val="5DC05B95"/>
    <w:rsid w:val="5F22771C"/>
    <w:rsid w:val="667C70DE"/>
    <w:rsid w:val="673006F1"/>
    <w:rsid w:val="698A1F92"/>
    <w:rsid w:val="699A0C32"/>
    <w:rsid w:val="6AB114FE"/>
    <w:rsid w:val="6EEE5A42"/>
    <w:rsid w:val="6F7B7195"/>
    <w:rsid w:val="70AE2968"/>
    <w:rsid w:val="71B805FE"/>
    <w:rsid w:val="741F27E3"/>
    <w:rsid w:val="76C92A3A"/>
    <w:rsid w:val="771350EE"/>
    <w:rsid w:val="79B914B5"/>
    <w:rsid w:val="7B7752B5"/>
    <w:rsid w:val="7D504DF7"/>
    <w:rsid w:val="7EF12167"/>
    <w:rsid w:val="7FB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/>
      <w:sz w:val="28"/>
    </w:rPr>
  </w:style>
  <w:style w:type="paragraph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引用1"/>
    <w:basedOn w:val="1"/>
    <w:next w:val="1"/>
    <w:qFormat/>
    <w:uiPriority w:val="0"/>
    <w:pPr>
      <w:widowControl/>
      <w:wordWrap w:val="0"/>
      <w:spacing w:before="200" w:after="160"/>
      <w:ind w:left="864" w:right="864"/>
      <w:jc w:val="center"/>
    </w:pPr>
    <w:rPr>
      <w:i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2021-09-08T07:00:17Z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81F22AFD66CF49D3975FB2D1C4139CA3</vt:lpwstr>
  </property>
</Properties>
</file>