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napToGrid w:val="0"/>
        <w:spacing w:beforeAutospacing="0" w:afterAutospacing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附件1</w:t>
      </w:r>
    </w:p>
    <w:p>
      <w:pPr>
        <w:pStyle w:val="6"/>
        <w:widowControl/>
        <w:shd w:val="clear" w:color="auto" w:fill="FFFFFF"/>
        <w:snapToGrid w:val="0"/>
        <w:spacing w:beforeAutospacing="0" w:afterAutospacing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四川阳安交通投资有限公司公开招聘专业技术人员岗位表</w:t>
      </w:r>
    </w:p>
    <w:tbl>
      <w:tblPr>
        <w:tblStyle w:val="7"/>
        <w:tblW w:w="16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49"/>
        <w:gridCol w:w="767"/>
        <w:gridCol w:w="3687"/>
        <w:gridCol w:w="6211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73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49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76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招聘人数</w:t>
            </w:r>
          </w:p>
        </w:tc>
        <w:tc>
          <w:tcPr>
            <w:tcW w:w="368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岗位简介</w:t>
            </w:r>
          </w:p>
        </w:tc>
        <w:tc>
          <w:tcPr>
            <w:tcW w:w="6211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岗位要求</w:t>
            </w:r>
          </w:p>
        </w:tc>
        <w:tc>
          <w:tcPr>
            <w:tcW w:w="4169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ind w:firstLine="795" w:firstLineChars="30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3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工程管理</w:t>
            </w:r>
          </w:p>
        </w:tc>
        <w:tc>
          <w:tcPr>
            <w:tcW w:w="76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68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负责协助部门负责人贯彻施工组织计划，做好施工现场管理、项目变更管理、竣工验收、审计、档案管理等相关工作</w:t>
            </w:r>
          </w:p>
        </w:tc>
        <w:tc>
          <w:tcPr>
            <w:tcW w:w="6211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1.学历：全日制本科及以上学历；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2.专业：工程管理、建筑学、城乡规划、土木工程、道路桥梁工程、市政工程；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3.年龄：35周岁及以下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4.其他：持有二级或以上建造师证书</w:t>
            </w:r>
          </w:p>
        </w:tc>
        <w:tc>
          <w:tcPr>
            <w:tcW w:w="4169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具有一级建造师证书或5年及以上工程管理工作经验的，可适当放宽年龄、学历、专业等条件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3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工程造价</w:t>
            </w:r>
          </w:p>
        </w:tc>
        <w:tc>
          <w:tcPr>
            <w:tcW w:w="76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68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负责完成项目造价相关工作</w:t>
            </w:r>
          </w:p>
        </w:tc>
        <w:tc>
          <w:tcPr>
            <w:tcW w:w="6211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1.学历：全日制本科及以上学历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2.专业：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工程造价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3.年龄：35周岁及以下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4.其他：持有工程造价员或以上资格证书</w:t>
            </w:r>
          </w:p>
        </w:tc>
        <w:tc>
          <w:tcPr>
            <w:tcW w:w="4169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具有注册造价工程师证书或5年及以上工程造价工作经验的，可适当放宽年龄、学历、专业等条件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财务管理</w:t>
            </w:r>
          </w:p>
        </w:tc>
        <w:tc>
          <w:tcPr>
            <w:tcW w:w="767" w:type="dxa"/>
            <w:shd w:val="clear" w:color="auto" w:fill="FFFFFF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687" w:type="dxa"/>
            <w:shd w:val="clear" w:color="auto" w:fill="FFFFFF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负责协助部门负责人做好财务管理等相关工作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1.学历：全日制本科及以上学历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2.专业：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审计学、会计、财务管理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3.年龄：35周岁及以下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4.4.其他：持有初级会计师或以上证书</w:t>
            </w:r>
          </w:p>
        </w:tc>
        <w:tc>
          <w:tcPr>
            <w:tcW w:w="4169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具有中级会计师及以上证书或5年及以上财会工作经验的，可适当放宽年龄、学历、专业等条件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3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749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融资</w:t>
            </w:r>
          </w:p>
        </w:tc>
        <w:tc>
          <w:tcPr>
            <w:tcW w:w="76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687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参与政策性银行、商业银行、各金融机构的对接谈判</w:t>
            </w:r>
          </w:p>
        </w:tc>
        <w:tc>
          <w:tcPr>
            <w:tcW w:w="6211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1.学历：全日制本科及以上学历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2.专业：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财会、金融、经济类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3.年龄：35周岁及以下</w:t>
            </w:r>
          </w:p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4169" w:type="dxa"/>
            <w:vAlign w:val="center"/>
          </w:tcPr>
          <w:p>
            <w:pPr>
              <w:pStyle w:val="6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具有5年及以上金融或财会工作经验的，可适当放宽年龄、学历、专业等条件</w:t>
            </w:r>
          </w:p>
        </w:tc>
      </w:tr>
    </w:tbl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注：1.年龄“35周岁及以下”是指1985年9月9日以后出生（不含9月9日）。年龄以有效身份证记载为准；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sectPr>
          <w:footerReference r:id="rId3" w:type="default"/>
          <w:pgSz w:w="16838" w:h="11906" w:orient="landscape"/>
          <w:pgMar w:top="1588" w:right="2098" w:bottom="1474" w:left="1984" w:header="851" w:footer="1400" w:gutter="0"/>
          <w:cols w:space="425" w:num="1"/>
          <w:docGrid w:type="linesAndChars" w:linePitch="579" w:charSpace="-3080"/>
        </w:sect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2.一人只可报考一个岗位，不可同时报考其他岗位。</w:t>
      </w:r>
      <w:bookmarkStart w:id="0" w:name="_GoBack"/>
      <w:bookmarkEnd w:id="0"/>
    </w:p>
    <w:p>
      <w:pPr>
        <w:pStyle w:val="6"/>
        <w:widowControl/>
        <w:shd w:val="clear" w:color="auto" w:fill="FFFFFF"/>
        <w:snapToGrid w:val="0"/>
        <w:spacing w:beforeAutospacing="0" w:afterAutospacing="0"/>
        <w:jc w:val="both"/>
        <w:rPr>
          <w:rFonts w:hint="default" w:ascii="方正小标宋简体" w:hAnsi="微软雅黑" w:eastAsia="方正小标宋简体" w:cs="微软雅黑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1116"/>
    <w:rsid w:val="02B77DB8"/>
    <w:rsid w:val="03780844"/>
    <w:rsid w:val="067131F0"/>
    <w:rsid w:val="06D4361F"/>
    <w:rsid w:val="073A637B"/>
    <w:rsid w:val="08061F6F"/>
    <w:rsid w:val="0BD805AA"/>
    <w:rsid w:val="150D5186"/>
    <w:rsid w:val="1585545A"/>
    <w:rsid w:val="1B816ACE"/>
    <w:rsid w:val="1D8603B1"/>
    <w:rsid w:val="1DAD356E"/>
    <w:rsid w:val="1EFF521C"/>
    <w:rsid w:val="208A1313"/>
    <w:rsid w:val="28172D6C"/>
    <w:rsid w:val="2A604980"/>
    <w:rsid w:val="2AAC5A85"/>
    <w:rsid w:val="2F5A748D"/>
    <w:rsid w:val="302A1E90"/>
    <w:rsid w:val="32CC4622"/>
    <w:rsid w:val="38227BFA"/>
    <w:rsid w:val="394D5403"/>
    <w:rsid w:val="395A2BFC"/>
    <w:rsid w:val="3DEF29FF"/>
    <w:rsid w:val="452C21A2"/>
    <w:rsid w:val="4C0E1B20"/>
    <w:rsid w:val="4D083E14"/>
    <w:rsid w:val="4D1C6403"/>
    <w:rsid w:val="4D4E3CEA"/>
    <w:rsid w:val="4E841437"/>
    <w:rsid w:val="4E8B1568"/>
    <w:rsid w:val="4FC53E8B"/>
    <w:rsid w:val="4FFE237A"/>
    <w:rsid w:val="51934769"/>
    <w:rsid w:val="543545B2"/>
    <w:rsid w:val="55FE2337"/>
    <w:rsid w:val="58F05BB0"/>
    <w:rsid w:val="5A5A3530"/>
    <w:rsid w:val="5AEE34D4"/>
    <w:rsid w:val="5D7F762E"/>
    <w:rsid w:val="5DC05B95"/>
    <w:rsid w:val="5F22771C"/>
    <w:rsid w:val="667C70DE"/>
    <w:rsid w:val="673006F1"/>
    <w:rsid w:val="698A1F92"/>
    <w:rsid w:val="699A0C32"/>
    <w:rsid w:val="6AB114FE"/>
    <w:rsid w:val="6EEE5A42"/>
    <w:rsid w:val="6F7B7195"/>
    <w:rsid w:val="70AE2968"/>
    <w:rsid w:val="71B805FE"/>
    <w:rsid w:val="741F27E3"/>
    <w:rsid w:val="76C92A3A"/>
    <w:rsid w:val="771350EE"/>
    <w:rsid w:val="79B914B5"/>
    <w:rsid w:val="7B7752B5"/>
    <w:rsid w:val="7D504DF7"/>
    <w:rsid w:val="7EF12167"/>
    <w:rsid w:val="7FB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  <w:sz w:val="28"/>
    </w:rPr>
  </w:style>
  <w:style w:type="paragraph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引用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dcterms:modified xsi:type="dcterms:W3CDTF">2021-09-08T07:00:17Z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81F22AFD66CF49D3975FB2D1C4139CA3</vt:lpwstr>
  </property>
</Properties>
</file>