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160" w:firstLineChars="50"/>
        <w:rPr>
          <w:rFonts w:ascii="Times New Roman" w:hAnsi="Times New Roman" w:eastAsia="仿宋_GB2312" w:cs="Times New Roman"/>
          <w:sz w:val="32"/>
          <w:szCs w:val="32"/>
        </w:rPr>
      </w:pPr>
      <w:r>
        <w:rPr>
          <w:rFonts w:ascii="Times New Roman" w:hAnsi="Times New Roman" w:eastAsia="仿宋_GB2312" w:cs="Times New Roman"/>
          <w:sz w:val="32"/>
          <w:szCs w:val="32"/>
        </w:rPr>
        <w:t>附件6：</w:t>
      </w:r>
    </w:p>
    <w:p>
      <w:pPr>
        <w:adjustRightInd w:val="0"/>
        <w:snapToGrid w:val="0"/>
        <w:spacing w:line="600" w:lineRule="exact"/>
        <w:jc w:val="center"/>
        <w:rPr>
          <w:rFonts w:hint="eastAsia" w:ascii="Times New Roman" w:hAnsi="Times New Roman" w:eastAsia="方正小标宋简体" w:cs="Times New Roman"/>
          <w:color w:val="000000"/>
          <w:spacing w:val="-10"/>
          <w:sz w:val="36"/>
          <w:szCs w:val="36"/>
        </w:rPr>
      </w:pPr>
      <w:r>
        <w:rPr>
          <w:rFonts w:hint="eastAsia" w:ascii="Times New Roman" w:hAnsi="Times New Roman" w:eastAsia="方正小标宋简体" w:cs="Times New Roman"/>
          <w:color w:val="000000"/>
          <w:spacing w:val="-10"/>
          <w:sz w:val="36"/>
          <w:szCs w:val="36"/>
        </w:rPr>
        <w:t>成都市职称评审网上申报基本流程</w:t>
      </w:r>
    </w:p>
    <w:p>
      <w:pPr>
        <w:adjustRightInd w:val="0"/>
        <w:snapToGrid w:val="0"/>
        <w:spacing w:line="600" w:lineRule="exact"/>
        <w:jc w:val="center"/>
        <w:rPr>
          <w:rFonts w:hint="eastAsia" w:ascii="Times New Roman" w:hAnsi="Times New Roman" w:eastAsia="方正小标宋简体" w:cs="Times New Roman"/>
          <w:color w:val="000000"/>
          <w:spacing w:val="-10"/>
          <w:sz w:val="36"/>
          <w:szCs w:val="36"/>
        </w:rPr>
      </w:pPr>
    </w:p>
    <w:p>
      <w:pPr>
        <w:adjustRightInd w:val="0"/>
        <w:snapToGrid w:val="0"/>
        <w:spacing w:line="600" w:lineRule="exact"/>
        <w:ind w:firstLine="600" w:firstLineChars="200"/>
        <w:rPr>
          <w:rFonts w:hint="eastAsia" w:ascii="仿宋_GB2312" w:hAnsi="Times New Roman" w:eastAsia="仿宋_GB2312" w:cs="Times New Roman"/>
          <w:color w:val="000000"/>
          <w:spacing w:val="-10"/>
          <w:sz w:val="32"/>
          <w:szCs w:val="32"/>
        </w:rPr>
      </w:pPr>
      <w:r>
        <w:rPr>
          <w:rFonts w:hint="eastAsia" w:ascii="仿宋_GB2312" w:hAnsi="Times New Roman" w:eastAsia="仿宋_GB2312" w:cs="Times New Roman"/>
          <w:color w:val="000000"/>
          <w:spacing w:val="-10"/>
          <w:sz w:val="32"/>
          <w:szCs w:val="32"/>
        </w:rPr>
        <w:t>申报人登录成都市人力资源和社会保障局公众信息网（网址：http://cdhrss.chengdu.gov.cn/），选择首页下侧菜单栏“蓉e人社网上服务大厅”-“个人服务”-“成都市专技人才信息系统”，按照提示注册或者登录后网上申报职称评审。涉及上传彩色照片的格式为：jpeg、png、jpg、bmp、gif，单张大小不低于300kb。</w:t>
      </w:r>
    </w:p>
    <w:p>
      <w:pPr>
        <w:adjustRightInd w:val="0"/>
        <w:snapToGrid w:val="0"/>
        <w:spacing w:line="600" w:lineRule="exact"/>
        <w:ind w:firstLine="600" w:firstLineChars="200"/>
        <w:rPr>
          <w:rFonts w:hint="eastAsia" w:ascii="仿宋_GB2312" w:hAnsi="Times New Roman" w:eastAsia="仿宋_GB2312" w:cs="Times New Roman"/>
          <w:color w:val="000000"/>
          <w:spacing w:val="-10"/>
          <w:sz w:val="32"/>
          <w:szCs w:val="32"/>
        </w:rPr>
      </w:pPr>
      <w:r>
        <w:rPr>
          <w:rFonts w:hint="eastAsia" w:ascii="仿宋_GB2312" w:hAnsi="Times New Roman" w:eastAsia="仿宋_GB2312" w:cs="Times New Roman"/>
          <w:color w:val="000000"/>
          <w:spacing w:val="-10"/>
          <w:sz w:val="32"/>
          <w:szCs w:val="32"/>
        </w:rPr>
        <w:t>一、申报人首次注册登录的，需先填报基础信息（包括上传本人近期红底彩色免冠证件照）。填报教育经历须上传相应的毕业证及学位证书清晰彩色照片。（每一步填写完毕请点击“保存”后再进入下一步，下同）</w:t>
      </w:r>
    </w:p>
    <w:p>
      <w:pPr>
        <w:adjustRightInd w:val="0"/>
        <w:snapToGrid w:val="0"/>
        <w:spacing w:line="600" w:lineRule="exact"/>
        <w:ind w:firstLine="600" w:firstLineChars="200"/>
        <w:rPr>
          <w:rFonts w:hint="eastAsia" w:ascii="仿宋_GB2312" w:hAnsi="Times New Roman" w:eastAsia="仿宋_GB2312" w:cs="Times New Roman"/>
          <w:color w:val="000000"/>
          <w:spacing w:val="-10"/>
          <w:sz w:val="32"/>
          <w:szCs w:val="32"/>
        </w:rPr>
      </w:pPr>
      <w:r>
        <w:rPr>
          <w:rFonts w:hint="eastAsia" w:ascii="仿宋_GB2312" w:hAnsi="Times New Roman" w:eastAsia="仿宋_GB2312" w:cs="Times New Roman"/>
          <w:color w:val="000000"/>
          <w:spacing w:val="-10"/>
          <w:sz w:val="32"/>
          <w:szCs w:val="32"/>
        </w:rPr>
        <w:t>二、选择首页左侧菜单栏“职称评审”-“职称评审申请”，逐条完善职称申请基本信息。</w:t>
      </w:r>
    </w:p>
    <w:p>
      <w:pPr>
        <w:adjustRightInd w:val="0"/>
        <w:snapToGrid w:val="0"/>
        <w:spacing w:line="600" w:lineRule="exact"/>
        <w:ind w:firstLine="600" w:firstLineChars="200"/>
        <w:rPr>
          <w:rFonts w:hint="eastAsia" w:ascii="仿宋_GB2312" w:hAnsi="Times New Roman" w:eastAsia="仿宋_GB2312" w:cs="Times New Roman"/>
          <w:color w:val="000000"/>
          <w:spacing w:val="-10"/>
          <w:sz w:val="32"/>
          <w:szCs w:val="32"/>
        </w:rPr>
      </w:pPr>
      <w:r>
        <w:rPr>
          <w:rFonts w:hint="eastAsia" w:ascii="仿宋_GB2312" w:hAnsi="Times New Roman" w:eastAsia="仿宋_GB2312" w:cs="Times New Roman"/>
          <w:color w:val="000000"/>
          <w:spacing w:val="-10"/>
          <w:sz w:val="32"/>
          <w:szCs w:val="32"/>
        </w:rPr>
        <w:t>（一）上传现有职称（资格）证书（可聘职业资格证书）及佐证材料（证书所有内页必须上传彩色扫描件。证书佐证材料为选报项，可上传职称评审（初定）表、批准文件、官网查询截图、电子证书等材料）。</w:t>
      </w:r>
    </w:p>
    <w:p>
      <w:pPr>
        <w:adjustRightInd w:val="0"/>
        <w:snapToGrid w:val="0"/>
        <w:spacing w:line="600" w:lineRule="exact"/>
        <w:ind w:firstLine="600" w:firstLineChars="200"/>
        <w:rPr>
          <w:rFonts w:hint="eastAsia" w:ascii="仿宋_GB2312" w:hAnsi="Times New Roman" w:eastAsia="仿宋_GB2312" w:cs="Times New Roman"/>
          <w:color w:val="000000"/>
          <w:spacing w:val="-10"/>
          <w:sz w:val="32"/>
          <w:szCs w:val="32"/>
        </w:rPr>
      </w:pPr>
      <w:r>
        <w:rPr>
          <w:rFonts w:hint="eastAsia" w:ascii="仿宋_GB2312" w:hAnsi="Times New Roman" w:eastAsia="仿宋_GB2312" w:cs="Times New Roman"/>
          <w:color w:val="000000"/>
          <w:spacing w:val="-10"/>
          <w:sz w:val="32"/>
          <w:szCs w:val="32"/>
        </w:rPr>
        <w:t>（二）填报学习培训经历及取得的相应学时（包括本人参加专业学习、培训、进修和各年度继续教育等内容）。</w:t>
      </w:r>
    </w:p>
    <w:p>
      <w:pPr>
        <w:adjustRightInd w:val="0"/>
        <w:snapToGrid w:val="0"/>
        <w:spacing w:line="600" w:lineRule="exact"/>
        <w:ind w:firstLine="600" w:firstLineChars="200"/>
        <w:rPr>
          <w:rFonts w:hint="eastAsia" w:ascii="仿宋_GB2312" w:hAnsi="Times New Roman" w:eastAsia="仿宋_GB2312" w:cs="Times New Roman"/>
          <w:color w:val="000000"/>
          <w:spacing w:val="-10"/>
          <w:sz w:val="32"/>
          <w:szCs w:val="32"/>
        </w:rPr>
      </w:pPr>
      <w:r>
        <w:rPr>
          <w:rFonts w:hint="eastAsia" w:ascii="仿宋_GB2312" w:hAnsi="Times New Roman" w:eastAsia="仿宋_GB2312" w:cs="Times New Roman"/>
          <w:color w:val="000000"/>
          <w:spacing w:val="-10"/>
          <w:sz w:val="32"/>
          <w:szCs w:val="32"/>
        </w:rPr>
        <w:t>（三）填报工作经历（从本人取得的第一学历毕业起填报）。</w:t>
      </w:r>
    </w:p>
    <w:p>
      <w:pPr>
        <w:adjustRightInd w:val="0"/>
        <w:snapToGrid w:val="0"/>
        <w:spacing w:line="600" w:lineRule="exact"/>
        <w:ind w:firstLine="600" w:firstLineChars="200"/>
        <w:rPr>
          <w:rFonts w:hint="eastAsia" w:ascii="仿宋_GB2312" w:hAnsi="Times New Roman" w:eastAsia="仿宋_GB2312" w:cs="Times New Roman"/>
          <w:color w:val="000000"/>
          <w:spacing w:val="-10"/>
          <w:sz w:val="32"/>
          <w:szCs w:val="32"/>
        </w:rPr>
      </w:pPr>
      <w:r>
        <w:rPr>
          <w:rFonts w:hint="eastAsia" w:ascii="仿宋_GB2312" w:hAnsi="Times New Roman" w:eastAsia="仿宋_GB2312" w:cs="Times New Roman"/>
          <w:color w:val="000000"/>
          <w:spacing w:val="-10"/>
          <w:sz w:val="32"/>
          <w:szCs w:val="32"/>
        </w:rPr>
        <w:t>（四）填报主要工作业绩。</w:t>
      </w:r>
    </w:p>
    <w:p>
      <w:pPr>
        <w:adjustRightInd w:val="0"/>
        <w:snapToGrid w:val="0"/>
        <w:spacing w:line="600" w:lineRule="exact"/>
        <w:ind w:firstLine="600" w:firstLineChars="200"/>
        <w:rPr>
          <w:rFonts w:hint="eastAsia" w:ascii="仿宋_GB2312" w:hAnsi="Times New Roman" w:eastAsia="仿宋_GB2312" w:cs="Times New Roman"/>
          <w:color w:val="000000"/>
          <w:spacing w:val="-10"/>
          <w:sz w:val="32"/>
          <w:szCs w:val="32"/>
        </w:rPr>
      </w:pPr>
      <w:r>
        <w:rPr>
          <w:rFonts w:hint="eastAsia" w:ascii="仿宋_GB2312" w:hAnsi="Times New Roman" w:eastAsia="仿宋_GB2312" w:cs="Times New Roman"/>
          <w:color w:val="000000"/>
          <w:spacing w:val="-10"/>
          <w:sz w:val="32"/>
          <w:szCs w:val="32"/>
        </w:rPr>
        <w:t>（五）填报著作论文及重要技术报告。</w:t>
      </w:r>
    </w:p>
    <w:p>
      <w:pPr>
        <w:adjustRightInd w:val="0"/>
        <w:snapToGrid w:val="0"/>
        <w:spacing w:line="600" w:lineRule="exact"/>
        <w:ind w:firstLine="600" w:firstLineChars="200"/>
        <w:rPr>
          <w:rFonts w:hint="eastAsia" w:ascii="仿宋_GB2312" w:hAnsi="Times New Roman" w:eastAsia="仿宋_GB2312" w:cs="Times New Roman"/>
          <w:color w:val="000000"/>
          <w:spacing w:val="-10"/>
          <w:sz w:val="32"/>
          <w:szCs w:val="32"/>
        </w:rPr>
      </w:pPr>
      <w:r>
        <w:rPr>
          <w:rFonts w:hint="eastAsia" w:ascii="仿宋_GB2312" w:hAnsi="Times New Roman" w:eastAsia="仿宋_GB2312" w:cs="Times New Roman"/>
          <w:color w:val="000000"/>
          <w:spacing w:val="-10"/>
          <w:sz w:val="32"/>
          <w:szCs w:val="32"/>
        </w:rPr>
        <w:t>（六）填报参加取得国家职业资格等专业考试的情况。</w:t>
      </w:r>
    </w:p>
    <w:p>
      <w:pPr>
        <w:adjustRightInd w:val="0"/>
        <w:snapToGrid w:val="0"/>
        <w:spacing w:line="600" w:lineRule="exact"/>
        <w:ind w:firstLine="600" w:firstLineChars="200"/>
        <w:rPr>
          <w:rFonts w:hint="eastAsia" w:ascii="仿宋_GB2312" w:hAnsi="Times New Roman" w:eastAsia="仿宋_GB2312" w:cs="Times New Roman"/>
          <w:color w:val="000000"/>
          <w:spacing w:val="-10"/>
          <w:sz w:val="32"/>
          <w:szCs w:val="32"/>
        </w:rPr>
      </w:pPr>
      <w:r>
        <w:rPr>
          <w:rFonts w:hint="eastAsia" w:ascii="仿宋_GB2312" w:hAnsi="Times New Roman" w:eastAsia="仿宋_GB2312" w:cs="Times New Roman"/>
          <w:color w:val="000000"/>
          <w:spacing w:val="-10"/>
          <w:sz w:val="32"/>
          <w:szCs w:val="32"/>
        </w:rPr>
        <w:t>三、预览检查后网上点击“提交”（重要提示：请本人再次核定所申报的职称评委会和评审专业，提交以后当年度不能修改）。提交由主管部门进行网上初审。</w:t>
      </w:r>
    </w:p>
    <w:p>
      <w:pPr>
        <w:adjustRightInd w:val="0"/>
        <w:snapToGrid w:val="0"/>
        <w:spacing w:line="600" w:lineRule="exact"/>
        <w:ind w:firstLine="60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color w:val="000000"/>
          <w:spacing w:val="-10"/>
          <w:sz w:val="32"/>
          <w:szCs w:val="32"/>
        </w:rPr>
        <w:t>四、申报人可登录“成都市专技人才信息系统”及时查看是否通过了网上初审。网上初审通过后，返回职称申请查询页面，点击列表中的“下载”按钮，下载并自行打印《专业技术人员任职资格评审表》（评审表内信息不得自行修改，之后所提交的纸质材料信息需与网上申报系统中的内容一致）。完善《专业技术人员任职资格评审表》上需要手写的各栏目内容（如：封面本人签字、职称申报诚信承诺书、任现职以来年度工作及考核情况、单位推荐意见、同行专家推荐意见等）。所有材料（包括佐证材料）由申报人签字交所在单位履行审核、公示、推荐程序。以上程序完成后，按要求前往主管部门提交职称评审相关的纸质资料和相关证书原件及复印件，主管部门进行现场审核。</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13A34"/>
    <w:rsid w:val="08A13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2022-10-09T01:48:00Z</dcterms:created>
  <dc:creator> 球球</dc:creator>
  <cp:lastModifiedBy> 球球</cp:lastModifiedBy>
  <dcterms:modified xsi:type="dcterms:W3CDTF">2022-10-09T01:50:36Z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