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35DC1">
      <w:pPr>
        <w:spacing w:line="570" w:lineRule="exact"/>
        <w:jc w:val="left"/>
        <w:rPr>
          <w:rFonts w:eastAsia="方正小标宋简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r>
        <w:rPr>
          <w:rFonts w:hint="eastAsia" w:eastAsia="方正小标宋简体"/>
          <w:sz w:val="44"/>
          <w:szCs w:val="44"/>
        </w:rPr>
        <w:t xml:space="preserve">          </w:t>
      </w:r>
      <w:bookmarkStart w:id="0" w:name="_GoBack"/>
      <w:bookmarkEnd w:id="0"/>
    </w:p>
    <w:p w14:paraId="2FA21FF0">
      <w:pPr>
        <w:spacing w:line="6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四川简阳经济开发区管理委员会</w:t>
      </w:r>
    </w:p>
    <w:p w14:paraId="16BCF37D">
      <w:pPr>
        <w:spacing w:line="66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2026年公开招聘员额内社会化聘用人员岗位表</w:t>
      </w:r>
    </w:p>
    <w:tbl>
      <w:tblPr>
        <w:tblStyle w:val="9"/>
        <w:tblW w:w="14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1294"/>
        <w:gridCol w:w="639"/>
        <w:gridCol w:w="863"/>
        <w:gridCol w:w="639"/>
        <w:gridCol w:w="1730"/>
        <w:gridCol w:w="947"/>
        <w:gridCol w:w="1981"/>
        <w:gridCol w:w="3114"/>
        <w:gridCol w:w="1679"/>
        <w:gridCol w:w="1194"/>
      </w:tblGrid>
      <w:tr w14:paraId="5A34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tblHeader/>
          <w:jc w:val="center"/>
        </w:trPr>
        <w:tc>
          <w:tcPr>
            <w:tcW w:w="556" w:type="dxa"/>
            <w:vMerge w:val="restart"/>
            <w:noWrap/>
            <w:vAlign w:val="center"/>
          </w:tcPr>
          <w:p w14:paraId="5E75801E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hint="default" w:ascii="Times New Roman" w:hAnsi="Times New Roman" w:eastAsia="黑体" w:cs="Times New Roman"/>
                <w:kern w:val="0"/>
              </w:rPr>
              <w:t>序号</w:t>
            </w:r>
          </w:p>
        </w:tc>
        <w:tc>
          <w:tcPr>
            <w:tcW w:w="1294" w:type="dxa"/>
            <w:vMerge w:val="restart"/>
            <w:noWrap/>
            <w:vAlign w:val="center"/>
          </w:tcPr>
          <w:p w14:paraId="69E41DD3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招聘单位</w:t>
            </w:r>
          </w:p>
        </w:tc>
        <w:tc>
          <w:tcPr>
            <w:tcW w:w="639" w:type="dxa"/>
            <w:vMerge w:val="restart"/>
            <w:noWrap/>
            <w:vAlign w:val="center"/>
          </w:tcPr>
          <w:p w14:paraId="164748C0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招聘名额</w:t>
            </w:r>
          </w:p>
        </w:tc>
        <w:tc>
          <w:tcPr>
            <w:tcW w:w="863" w:type="dxa"/>
            <w:vMerge w:val="restart"/>
            <w:noWrap/>
            <w:vAlign w:val="center"/>
          </w:tcPr>
          <w:p w14:paraId="189A3F37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岗位</w:t>
            </w:r>
          </w:p>
          <w:p w14:paraId="5BAAD20D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代码</w:t>
            </w:r>
          </w:p>
        </w:tc>
        <w:tc>
          <w:tcPr>
            <w:tcW w:w="639" w:type="dxa"/>
            <w:vMerge w:val="restart"/>
            <w:noWrap/>
            <w:vAlign w:val="center"/>
          </w:tcPr>
          <w:p w14:paraId="2C39F57D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岗位名称</w:t>
            </w:r>
          </w:p>
        </w:tc>
        <w:tc>
          <w:tcPr>
            <w:tcW w:w="1730" w:type="dxa"/>
            <w:vMerge w:val="restart"/>
            <w:noWrap/>
            <w:vAlign w:val="center"/>
          </w:tcPr>
          <w:p w14:paraId="140E7600">
            <w:pPr>
              <w:widowControl/>
              <w:spacing w:line="400" w:lineRule="exact"/>
              <w:ind w:firstLine="420" w:firstLineChars="200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岗位</w:t>
            </w:r>
            <w:r>
              <w:rPr>
                <w:rFonts w:hint="default" w:ascii="Times New Roman" w:hAnsi="Times New Roman" w:eastAsia="黑体" w:cs="Times New Roman"/>
                <w:kern w:val="0"/>
              </w:rPr>
              <w:t>职责</w:t>
            </w:r>
          </w:p>
        </w:tc>
        <w:tc>
          <w:tcPr>
            <w:tcW w:w="7721" w:type="dxa"/>
            <w:gridSpan w:val="4"/>
            <w:noWrap/>
            <w:vAlign w:val="center"/>
          </w:tcPr>
          <w:p w14:paraId="62BE1668">
            <w:pPr>
              <w:widowControl/>
              <w:spacing w:line="400" w:lineRule="exact"/>
              <w:ind w:firstLine="420" w:firstLineChars="200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招聘岗位应聘资格条件</w:t>
            </w:r>
          </w:p>
        </w:tc>
        <w:tc>
          <w:tcPr>
            <w:tcW w:w="1194" w:type="dxa"/>
            <w:vMerge w:val="restart"/>
            <w:noWrap/>
            <w:vAlign w:val="center"/>
          </w:tcPr>
          <w:p w14:paraId="447C4505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备注</w:t>
            </w:r>
          </w:p>
        </w:tc>
      </w:tr>
      <w:tr w14:paraId="2D01C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tblHeader/>
          <w:jc w:val="center"/>
        </w:trPr>
        <w:tc>
          <w:tcPr>
            <w:tcW w:w="556" w:type="dxa"/>
            <w:vMerge w:val="continue"/>
            <w:noWrap/>
            <w:vAlign w:val="center"/>
          </w:tcPr>
          <w:p w14:paraId="79FB468F">
            <w:pPr>
              <w:spacing w:line="400" w:lineRule="exact"/>
              <w:ind w:firstLine="420" w:firstLineChars="200"/>
              <w:rPr>
                <w:rFonts w:ascii="Times New Roman" w:hAnsi="Times New Roman" w:cs="Times New Roman"/>
              </w:rPr>
            </w:pPr>
          </w:p>
        </w:tc>
        <w:tc>
          <w:tcPr>
            <w:tcW w:w="1294" w:type="dxa"/>
            <w:vMerge w:val="continue"/>
            <w:noWrap/>
            <w:vAlign w:val="center"/>
          </w:tcPr>
          <w:p w14:paraId="7DA74A24">
            <w:pPr>
              <w:spacing w:line="400" w:lineRule="exact"/>
              <w:ind w:firstLine="420" w:firstLineChars="200"/>
              <w:rPr>
                <w:rFonts w:ascii="Times New Roman" w:hAnsi="Times New Roman" w:cs="Times New Roman"/>
              </w:rPr>
            </w:pPr>
          </w:p>
        </w:tc>
        <w:tc>
          <w:tcPr>
            <w:tcW w:w="639" w:type="dxa"/>
            <w:vMerge w:val="continue"/>
            <w:noWrap/>
            <w:vAlign w:val="center"/>
          </w:tcPr>
          <w:p w14:paraId="05AD4F6E">
            <w:pPr>
              <w:spacing w:line="400" w:lineRule="exact"/>
              <w:ind w:firstLine="420" w:firstLineChars="200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vMerge w:val="continue"/>
            <w:noWrap/>
            <w:vAlign w:val="center"/>
          </w:tcPr>
          <w:p w14:paraId="41908177">
            <w:pPr>
              <w:spacing w:line="400" w:lineRule="exact"/>
              <w:ind w:firstLine="420" w:firstLineChars="200"/>
              <w:rPr>
                <w:rFonts w:ascii="Times New Roman" w:hAnsi="Times New Roman" w:cs="Times New Roman"/>
              </w:rPr>
            </w:pPr>
          </w:p>
        </w:tc>
        <w:tc>
          <w:tcPr>
            <w:tcW w:w="639" w:type="dxa"/>
            <w:vMerge w:val="continue"/>
            <w:noWrap/>
            <w:vAlign w:val="center"/>
          </w:tcPr>
          <w:p w14:paraId="429CCDCB">
            <w:pPr>
              <w:spacing w:line="400" w:lineRule="exact"/>
              <w:ind w:firstLine="420" w:firstLineChars="200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vMerge w:val="continue"/>
            <w:noWrap/>
            <w:vAlign w:val="center"/>
          </w:tcPr>
          <w:p w14:paraId="4ECA2F3F">
            <w:pPr>
              <w:spacing w:line="400" w:lineRule="exact"/>
              <w:ind w:firstLine="420" w:firstLineChars="200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noWrap/>
            <w:vAlign w:val="center"/>
          </w:tcPr>
          <w:p w14:paraId="59074ECB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招聘</w:t>
            </w:r>
          </w:p>
          <w:p w14:paraId="219717EA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范围</w:t>
            </w:r>
          </w:p>
        </w:tc>
        <w:tc>
          <w:tcPr>
            <w:tcW w:w="1981" w:type="dxa"/>
            <w:noWrap/>
            <w:vAlign w:val="center"/>
          </w:tcPr>
          <w:p w14:paraId="189B333F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学历</w:t>
            </w:r>
          </w:p>
        </w:tc>
        <w:tc>
          <w:tcPr>
            <w:tcW w:w="3114" w:type="dxa"/>
            <w:noWrap/>
            <w:vAlign w:val="center"/>
          </w:tcPr>
          <w:p w14:paraId="2ACF64DE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学历专业</w:t>
            </w:r>
          </w:p>
        </w:tc>
        <w:tc>
          <w:tcPr>
            <w:tcW w:w="1679" w:type="dxa"/>
            <w:noWrap/>
            <w:vAlign w:val="center"/>
          </w:tcPr>
          <w:p w14:paraId="0FC56849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kern w:val="0"/>
              </w:rPr>
            </w:pPr>
            <w:r>
              <w:rPr>
                <w:rFonts w:ascii="Times New Roman" w:hAnsi="Times New Roman" w:eastAsia="黑体" w:cs="Times New Roman"/>
                <w:kern w:val="0"/>
              </w:rPr>
              <w:t>年龄</w:t>
            </w:r>
          </w:p>
        </w:tc>
        <w:tc>
          <w:tcPr>
            <w:tcW w:w="1194" w:type="dxa"/>
            <w:vMerge w:val="continue"/>
            <w:noWrap/>
            <w:vAlign w:val="center"/>
          </w:tcPr>
          <w:p w14:paraId="43AF3064">
            <w:pPr>
              <w:spacing w:line="400" w:lineRule="exact"/>
              <w:ind w:firstLine="420" w:firstLineChars="200"/>
              <w:rPr>
                <w:rFonts w:ascii="Times New Roman" w:hAnsi="Times New Roman" w:cs="Times New Roman"/>
              </w:rPr>
            </w:pPr>
          </w:p>
        </w:tc>
      </w:tr>
      <w:tr w14:paraId="22A23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2" w:hRule="atLeast"/>
          <w:jc w:val="center"/>
        </w:trPr>
        <w:tc>
          <w:tcPr>
            <w:tcW w:w="556" w:type="dxa"/>
            <w:noWrap/>
            <w:vAlign w:val="center"/>
          </w:tcPr>
          <w:p w14:paraId="41F182C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1</w:t>
            </w:r>
          </w:p>
        </w:tc>
        <w:tc>
          <w:tcPr>
            <w:tcW w:w="1294" w:type="dxa"/>
            <w:noWrap/>
            <w:vAlign w:val="center"/>
          </w:tcPr>
          <w:p w14:paraId="529ACD46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</w:p>
          <w:p w14:paraId="7BE057C5">
            <w:pPr>
              <w:pStyle w:val="13"/>
              <w:adjustRightInd w:val="0"/>
              <w:snapToGrid w:val="0"/>
              <w:spacing w:line="400" w:lineRule="exact"/>
              <w:ind w:firstLine="360"/>
              <w:rPr>
                <w:rFonts w:ascii="Times New Roman" w:hAnsi="Times New Roman"/>
              </w:rPr>
            </w:pPr>
          </w:p>
          <w:p w14:paraId="78FA06BE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  <w:p w14:paraId="0DD4A24E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四川简阳</w:t>
            </w:r>
          </w:p>
          <w:p w14:paraId="08B09DE9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经济开发区</w:t>
            </w:r>
          </w:p>
          <w:p w14:paraId="2713521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管理委员会</w:t>
            </w:r>
          </w:p>
          <w:p w14:paraId="473FC08A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</w:p>
          <w:p w14:paraId="3AD37229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</w:rPr>
            </w:pPr>
          </w:p>
          <w:p w14:paraId="5BF0E301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</w:rPr>
            </w:pPr>
          </w:p>
          <w:p w14:paraId="5618BC3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</w:p>
        </w:tc>
        <w:tc>
          <w:tcPr>
            <w:tcW w:w="639" w:type="dxa"/>
            <w:noWrap/>
            <w:vAlign w:val="center"/>
          </w:tcPr>
          <w:p w14:paraId="0E05D60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1</w:t>
            </w:r>
          </w:p>
        </w:tc>
        <w:tc>
          <w:tcPr>
            <w:tcW w:w="863" w:type="dxa"/>
            <w:noWrap/>
            <w:vAlign w:val="center"/>
          </w:tcPr>
          <w:p w14:paraId="57C17E7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</w:rPr>
              <w:t>-01</w:t>
            </w:r>
          </w:p>
        </w:tc>
        <w:tc>
          <w:tcPr>
            <w:tcW w:w="639" w:type="dxa"/>
            <w:noWrap/>
            <w:vAlign w:val="center"/>
          </w:tcPr>
          <w:p w14:paraId="761E29F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规划建设</w:t>
            </w:r>
          </w:p>
        </w:tc>
        <w:tc>
          <w:tcPr>
            <w:tcW w:w="1730" w:type="dxa"/>
            <w:noWrap/>
            <w:vAlign w:val="center"/>
          </w:tcPr>
          <w:p w14:paraId="4C450CE8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主要从事工程信息分析与处理，研究成本工期、施工管理，配合规划设计单位优化方案设计、对工程项目进行综合管理及成本控制等相关工作。</w:t>
            </w:r>
          </w:p>
        </w:tc>
        <w:tc>
          <w:tcPr>
            <w:tcW w:w="947" w:type="dxa"/>
            <w:noWrap/>
            <w:vAlign w:val="center"/>
          </w:tcPr>
          <w:p w14:paraId="6946955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全国</w:t>
            </w:r>
          </w:p>
        </w:tc>
        <w:tc>
          <w:tcPr>
            <w:tcW w:w="1981" w:type="dxa"/>
            <w:noWrap/>
            <w:vAlign w:val="center"/>
          </w:tcPr>
          <w:p w14:paraId="187D365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硕士研究生及以上学历，并取得相应学位，具有副高级及以上职称学历放宽至本科，并取得相应学位。</w:t>
            </w:r>
            <w:r>
              <w:rPr>
                <w:rFonts w:ascii="Times New Roman" w:hAnsi="Times New Roman" w:cs="Times New Roman"/>
              </w:rPr>
              <w:commentReference w:id="0"/>
            </w:r>
          </w:p>
        </w:tc>
        <w:tc>
          <w:tcPr>
            <w:tcW w:w="3114" w:type="dxa"/>
            <w:noWrap/>
            <w:vAlign w:val="center"/>
          </w:tcPr>
          <w:p w14:paraId="320AC2C5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本科：081001 土木工程、082801建筑学、082802城乡规划、081002建筑环境与能源应用工程、081008智能建造</w:t>
            </w:r>
          </w:p>
          <w:p w14:paraId="7A7037ED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研究生：081400土木工程、081300建筑学、085300城乡规划、081302建筑设计及其理论、081403市政工程 、083300 城乡规划学</w:t>
            </w:r>
            <w:r>
              <w:rPr>
                <w:rFonts w:hint="eastAsia" w:ascii="Times New Roman" w:hAnsi="Times New Roman" w:eastAsia="仿宋_GB2312" w:cs="Times New Roman"/>
                <w:kern w:val="0"/>
                <w:lang w:val="en-US" w:eastAsia="zh-CN"/>
              </w:rPr>
              <w:t xml:space="preserve"> </w:t>
            </w:r>
          </w:p>
        </w:tc>
        <w:tc>
          <w:tcPr>
            <w:tcW w:w="1679" w:type="dxa"/>
            <w:noWrap/>
            <w:vAlign w:val="center"/>
          </w:tcPr>
          <w:p w14:paraId="7713991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35周岁及以下</w:t>
            </w:r>
            <w:r>
              <w:rPr>
                <w:rFonts w:hint="default" w:ascii="Times New Roman" w:hAnsi="Times New Roman" w:eastAsia="仿宋_GB2312" w:cs="Times New Roman"/>
                <w:kern w:val="0"/>
              </w:rPr>
              <w:t>，副高级及以上职称人员年龄放宽至40周岁以下</w:t>
            </w:r>
          </w:p>
        </w:tc>
        <w:tc>
          <w:tcPr>
            <w:tcW w:w="1194" w:type="dxa"/>
            <w:noWrap/>
            <w:vAlign w:val="center"/>
          </w:tcPr>
          <w:p w14:paraId="60F0ADD7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　</w:t>
            </w:r>
          </w:p>
        </w:tc>
      </w:tr>
      <w:tr w14:paraId="6CDDA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556" w:type="dxa"/>
            <w:noWrap/>
            <w:vAlign w:val="center"/>
          </w:tcPr>
          <w:p w14:paraId="0F08879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2</w:t>
            </w:r>
          </w:p>
        </w:tc>
        <w:tc>
          <w:tcPr>
            <w:tcW w:w="1294" w:type="dxa"/>
            <w:noWrap/>
            <w:vAlign w:val="center"/>
          </w:tcPr>
          <w:p w14:paraId="045C709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四川简阳</w:t>
            </w:r>
          </w:p>
          <w:p w14:paraId="1A17EBD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经济开发区</w:t>
            </w:r>
          </w:p>
          <w:p w14:paraId="67F2599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管理委员会</w:t>
            </w:r>
          </w:p>
        </w:tc>
        <w:tc>
          <w:tcPr>
            <w:tcW w:w="639" w:type="dxa"/>
            <w:noWrap/>
            <w:vAlign w:val="center"/>
          </w:tcPr>
          <w:p w14:paraId="4FB64A7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3</w:t>
            </w:r>
          </w:p>
        </w:tc>
        <w:tc>
          <w:tcPr>
            <w:tcW w:w="863" w:type="dxa"/>
            <w:noWrap/>
            <w:vAlign w:val="center"/>
          </w:tcPr>
          <w:p w14:paraId="5255A25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</w:rPr>
              <w:t>-02</w:t>
            </w:r>
          </w:p>
        </w:tc>
        <w:tc>
          <w:tcPr>
            <w:tcW w:w="639" w:type="dxa"/>
            <w:noWrap/>
            <w:vAlign w:val="center"/>
          </w:tcPr>
          <w:p w14:paraId="3F40A5F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产业发展</w:t>
            </w:r>
          </w:p>
        </w:tc>
        <w:tc>
          <w:tcPr>
            <w:tcW w:w="1730" w:type="dxa"/>
            <w:noWrap/>
            <w:vAlign w:val="center"/>
          </w:tcPr>
          <w:p w14:paraId="49277FB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主要从事产业发展研究、产业项目招商引资、土地管理、服务企业等工作</w:t>
            </w:r>
          </w:p>
        </w:tc>
        <w:tc>
          <w:tcPr>
            <w:tcW w:w="947" w:type="dxa"/>
            <w:noWrap/>
            <w:vAlign w:val="center"/>
          </w:tcPr>
          <w:p w14:paraId="5BE4302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全国</w:t>
            </w:r>
          </w:p>
        </w:tc>
        <w:tc>
          <w:tcPr>
            <w:tcW w:w="1981" w:type="dxa"/>
            <w:noWrap/>
            <w:vAlign w:val="center"/>
          </w:tcPr>
          <w:p w14:paraId="003379B1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硕士研究生及以上学历，并取得相应学位</w:t>
            </w:r>
            <w:r>
              <w:rPr>
                <w:rFonts w:ascii="Times New Roman" w:hAnsi="Times New Roman" w:cs="Times New Roman"/>
              </w:rPr>
              <w:commentReference w:id="1"/>
            </w:r>
          </w:p>
        </w:tc>
        <w:tc>
          <w:tcPr>
            <w:tcW w:w="3114" w:type="dxa"/>
            <w:noWrap/>
            <w:vAlign w:val="center"/>
          </w:tcPr>
          <w:p w14:paraId="75B0BB5D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 xml:space="preserve">                            0202应用经济学、0858 能源动力、0855 机械、0854 电子信息 、0258 数字经济 、0802 机械工程 、0812 计算机科学与技术 、0832 食品科学与工程、</w:t>
            </w:r>
            <w:commentRangeStart w:id="2"/>
            <w:r>
              <w:rPr>
                <w:rFonts w:hint="default" w:ascii="Times New Roman" w:hAnsi="Times New Roman" w:eastAsia="仿宋_GB2312" w:cs="Times New Roman"/>
                <w:color w:val="auto"/>
                <w:kern w:val="0"/>
              </w:rPr>
              <w:t>1357 设计</w:t>
            </w:r>
            <w:commentRangeEnd w:id="2"/>
            <w:r>
              <w:rPr>
                <w:rFonts w:ascii="Times New Roman" w:hAnsi="Times New Roman" w:cs="Times New Roman"/>
                <w:color w:val="auto"/>
              </w:rPr>
              <w:commentReference w:id="2"/>
            </w:r>
            <w:r>
              <w:rPr>
                <w:rFonts w:hint="default" w:ascii="Times New Roman" w:hAnsi="Times New Roman" w:eastAsia="仿宋_GB2312" w:cs="Times New Roman"/>
                <w:kern w:val="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14:textFill>
                  <w14:solidFill>
                    <w14:schemeClr w14:val="tx1"/>
                  </w14:solidFill>
                </w14:textFill>
              </w:rPr>
              <w:t>0252 应用统计、0808 电气工程</w:t>
            </w:r>
          </w:p>
        </w:tc>
        <w:tc>
          <w:tcPr>
            <w:tcW w:w="1679" w:type="dxa"/>
            <w:noWrap/>
            <w:vAlign w:val="center"/>
          </w:tcPr>
          <w:p w14:paraId="2123076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35周岁及以下</w:t>
            </w:r>
          </w:p>
        </w:tc>
        <w:tc>
          <w:tcPr>
            <w:tcW w:w="1194" w:type="dxa"/>
            <w:noWrap/>
            <w:vAlign w:val="center"/>
          </w:tcPr>
          <w:p w14:paraId="666FA2D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　</w:t>
            </w:r>
          </w:p>
        </w:tc>
      </w:tr>
      <w:tr w14:paraId="2C18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7" w:hRule="atLeast"/>
          <w:jc w:val="center"/>
        </w:trPr>
        <w:tc>
          <w:tcPr>
            <w:tcW w:w="556" w:type="dxa"/>
            <w:noWrap/>
            <w:vAlign w:val="center"/>
          </w:tcPr>
          <w:p w14:paraId="766790A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3</w:t>
            </w:r>
          </w:p>
        </w:tc>
        <w:tc>
          <w:tcPr>
            <w:tcW w:w="1294" w:type="dxa"/>
            <w:noWrap/>
            <w:vAlign w:val="center"/>
          </w:tcPr>
          <w:p w14:paraId="35B097F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四川简阳</w:t>
            </w:r>
          </w:p>
          <w:p w14:paraId="57FF6D8A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经济开发区</w:t>
            </w:r>
          </w:p>
          <w:p w14:paraId="3D16DBD2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管理委员会</w:t>
            </w:r>
          </w:p>
        </w:tc>
        <w:tc>
          <w:tcPr>
            <w:tcW w:w="639" w:type="dxa"/>
            <w:noWrap/>
            <w:vAlign w:val="center"/>
          </w:tcPr>
          <w:p w14:paraId="2DF662F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1</w:t>
            </w:r>
          </w:p>
        </w:tc>
        <w:tc>
          <w:tcPr>
            <w:tcW w:w="863" w:type="dxa"/>
            <w:noWrap/>
            <w:vAlign w:val="center"/>
          </w:tcPr>
          <w:p w14:paraId="50BA279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0</w:t>
            </w:r>
            <w:r>
              <w:rPr>
                <w:rFonts w:hint="default" w:ascii="Times New Roman" w:hAnsi="Times New Roman" w:eastAsia="仿宋_GB2312" w:cs="Times New Roman"/>
                <w:kern w:val="0"/>
              </w:rPr>
              <w:t>1</w:t>
            </w:r>
            <w:r>
              <w:rPr>
                <w:rFonts w:ascii="Times New Roman" w:hAnsi="Times New Roman" w:eastAsia="仿宋_GB2312" w:cs="Times New Roman"/>
                <w:kern w:val="0"/>
              </w:rPr>
              <w:t>-0</w:t>
            </w:r>
            <w:r>
              <w:rPr>
                <w:rFonts w:hint="default" w:ascii="Times New Roman" w:hAnsi="Times New Roman" w:eastAsia="仿宋_GB2312" w:cs="Times New Roman"/>
                <w:kern w:val="0"/>
              </w:rPr>
              <w:t>3</w:t>
            </w:r>
          </w:p>
        </w:tc>
        <w:tc>
          <w:tcPr>
            <w:tcW w:w="639" w:type="dxa"/>
            <w:noWrap/>
            <w:vAlign w:val="center"/>
          </w:tcPr>
          <w:p w14:paraId="462BB0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综合管理</w:t>
            </w:r>
          </w:p>
        </w:tc>
        <w:tc>
          <w:tcPr>
            <w:tcW w:w="1730" w:type="dxa"/>
            <w:noWrap/>
            <w:vAlign w:val="center"/>
          </w:tcPr>
          <w:p w14:paraId="478DA2E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主要从事党建、宣传、文稿撰写、目标考核、督查督办等办公室相关工作</w:t>
            </w:r>
          </w:p>
        </w:tc>
        <w:tc>
          <w:tcPr>
            <w:tcW w:w="947" w:type="dxa"/>
            <w:noWrap/>
            <w:vAlign w:val="center"/>
          </w:tcPr>
          <w:p w14:paraId="5B895684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全国</w:t>
            </w:r>
          </w:p>
        </w:tc>
        <w:tc>
          <w:tcPr>
            <w:tcW w:w="1981" w:type="dxa"/>
            <w:noWrap/>
            <w:vAlign w:val="center"/>
          </w:tcPr>
          <w:p w14:paraId="728D7E25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</w:rPr>
              <w:t>本科及以上学历并取得学历相应学位</w:t>
            </w:r>
          </w:p>
        </w:tc>
        <w:tc>
          <w:tcPr>
            <w:tcW w:w="3114" w:type="dxa"/>
            <w:shd w:val="clear" w:color="auto" w:fill="auto"/>
            <w:noWrap/>
            <w:vAlign w:val="center"/>
          </w:tcPr>
          <w:p w14:paraId="69256707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本科：050101汉语言文学、050106应用语言学、050301新闻学、050304传播学、050306网络与新媒体、080906数字媒体技术、130502视觉传达设计、130305广播电视编导、120203会计学、130504产品设计</w:t>
            </w:r>
          </w:p>
          <w:p w14:paraId="61AC51A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研究生：050100汉语言文学、050102语言学及应用语言学）、050301新闻学、050302传播学、120201会计学</w:t>
            </w:r>
          </w:p>
        </w:tc>
        <w:tc>
          <w:tcPr>
            <w:tcW w:w="1679" w:type="dxa"/>
            <w:noWrap/>
            <w:vAlign w:val="center"/>
          </w:tcPr>
          <w:p w14:paraId="2345928C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35周岁及以下</w:t>
            </w:r>
          </w:p>
        </w:tc>
        <w:tc>
          <w:tcPr>
            <w:tcW w:w="1194" w:type="dxa"/>
            <w:noWrap/>
            <w:vAlign w:val="center"/>
          </w:tcPr>
          <w:p w14:paraId="79EF44EF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仿宋_GB2312" w:cs="Times New Roman"/>
                <w:kern w:val="0"/>
              </w:rPr>
            </w:pPr>
            <w:r>
              <w:rPr>
                <w:rFonts w:ascii="Times New Roman" w:hAnsi="Times New Roman" w:eastAsia="仿宋_GB2312" w:cs="Times New Roman"/>
                <w:kern w:val="0"/>
              </w:rPr>
              <w:t>　</w:t>
            </w:r>
          </w:p>
        </w:tc>
      </w:tr>
    </w:tbl>
    <w:p w14:paraId="79B74C17">
      <w:pPr>
        <w:widowControl/>
        <w:tabs>
          <w:tab w:val="left" w:pos="851"/>
        </w:tabs>
        <w:spacing w:line="570" w:lineRule="exact"/>
        <w:ind w:firstLine="0" w:firstLineChars="0"/>
        <w:jc w:val="left"/>
        <w:rPr>
          <w:rFonts w:ascii="Times New Roman" w:hAnsi="Times New Roman" w:cs="Times New Roman"/>
        </w:rPr>
      </w:pPr>
      <w:r>
        <w:rPr>
          <w:rFonts w:hint="eastAsia" w:eastAsia="仿宋_GB2312"/>
          <w:kern w:val="0"/>
          <w:sz w:val="24"/>
        </w:rPr>
        <w:t>注</w:t>
      </w:r>
      <w:r>
        <w:rPr>
          <w:rFonts w:hint="eastAsia" w:ascii="仿宋_GB2312" w:hAnsi="仿宋_GB2312" w:eastAsia="仿宋_GB2312" w:cs="仿宋_GB2312"/>
          <w:kern w:val="0"/>
          <w:sz w:val="24"/>
        </w:rPr>
        <w:t>：1.每位应聘人员限报一个招聘岗位，报名多个岗位的，视为无效报名。</w:t>
      </w:r>
      <w:r>
        <w:rPr>
          <w:rFonts w:hint="eastAsia" w:eastAsia="仿宋_GB2312"/>
          <w:kern w:val="0"/>
          <w:sz w:val="24"/>
        </w:rPr>
        <w:t>35周岁及以下是指199</w:t>
      </w:r>
      <w:r>
        <w:rPr>
          <w:rFonts w:hint="eastAsia" w:eastAsia="仿宋_GB2312"/>
          <w:kern w:val="0"/>
          <w:sz w:val="24"/>
          <w:lang w:val="en-US" w:eastAsia="zh-CN"/>
        </w:rPr>
        <w:t>0</w:t>
      </w:r>
      <w:r>
        <w:rPr>
          <w:rFonts w:hint="eastAsia" w:eastAsia="仿宋_GB2312"/>
          <w:kern w:val="0"/>
          <w:sz w:val="24"/>
        </w:rPr>
        <w:t>年</w:t>
      </w:r>
      <w:r>
        <w:rPr>
          <w:rFonts w:hint="eastAsia" w:eastAsia="仿宋_GB2312"/>
          <w:kern w:val="0"/>
          <w:sz w:val="24"/>
          <w:lang w:val="en-US" w:eastAsia="zh-CN"/>
        </w:rPr>
        <w:t>9</w:t>
      </w:r>
      <w:r>
        <w:rPr>
          <w:rFonts w:hint="eastAsia" w:eastAsia="仿宋_GB2312"/>
          <w:kern w:val="0"/>
          <w:sz w:val="24"/>
        </w:rPr>
        <w:t>月</w:t>
      </w:r>
      <w:r>
        <w:rPr>
          <w:rFonts w:hint="eastAsia" w:eastAsia="仿宋_GB2312"/>
          <w:kern w:val="0"/>
          <w:sz w:val="24"/>
          <w:lang w:val="en-US" w:eastAsia="zh-CN"/>
        </w:rPr>
        <w:t>14</w:t>
      </w:r>
      <w:r>
        <w:rPr>
          <w:rFonts w:hint="eastAsia" w:eastAsia="仿宋_GB2312"/>
          <w:kern w:val="0"/>
          <w:sz w:val="24"/>
        </w:rPr>
        <w:t>日（不含</w:t>
      </w:r>
      <w:r>
        <w:rPr>
          <w:rFonts w:hint="eastAsia" w:eastAsia="仿宋_GB2312"/>
          <w:kern w:val="0"/>
          <w:sz w:val="24"/>
          <w:lang w:val="en-US" w:eastAsia="zh-CN"/>
        </w:rPr>
        <w:t>9</w:t>
      </w:r>
      <w:r>
        <w:rPr>
          <w:rFonts w:hint="eastAsia" w:eastAsia="仿宋_GB2312"/>
          <w:kern w:val="0"/>
          <w:sz w:val="24"/>
        </w:rPr>
        <w:t>月</w:t>
      </w:r>
      <w:r>
        <w:rPr>
          <w:rFonts w:hint="eastAsia" w:eastAsia="仿宋_GB2312"/>
          <w:kern w:val="0"/>
          <w:sz w:val="24"/>
          <w:lang w:val="en-US" w:eastAsia="zh-CN"/>
        </w:rPr>
        <w:t>14</w:t>
      </w:r>
      <w:r>
        <w:rPr>
          <w:rFonts w:hint="eastAsia" w:eastAsia="仿宋_GB2312"/>
          <w:kern w:val="0"/>
          <w:sz w:val="24"/>
        </w:rPr>
        <w:t>日）以后出生；40周岁及以下是指198</w:t>
      </w:r>
      <w:r>
        <w:rPr>
          <w:rFonts w:hint="eastAsia" w:eastAsia="仿宋_GB2312"/>
          <w:kern w:val="0"/>
          <w:sz w:val="24"/>
          <w:lang w:val="en-US" w:eastAsia="zh-CN"/>
        </w:rPr>
        <w:t>5</w:t>
      </w:r>
      <w:r>
        <w:rPr>
          <w:rFonts w:hint="eastAsia" w:eastAsia="仿宋_GB2312"/>
          <w:kern w:val="0"/>
          <w:sz w:val="24"/>
        </w:rPr>
        <w:t>年</w:t>
      </w:r>
      <w:r>
        <w:rPr>
          <w:rFonts w:hint="eastAsia" w:eastAsia="仿宋_GB2312"/>
          <w:kern w:val="0"/>
          <w:sz w:val="24"/>
          <w:lang w:val="en-US" w:eastAsia="zh-CN"/>
        </w:rPr>
        <w:t>9</w:t>
      </w:r>
      <w:r>
        <w:rPr>
          <w:rFonts w:hint="eastAsia" w:eastAsia="仿宋_GB2312"/>
          <w:kern w:val="0"/>
          <w:sz w:val="24"/>
        </w:rPr>
        <w:t>月</w:t>
      </w:r>
      <w:r>
        <w:rPr>
          <w:rFonts w:hint="eastAsia" w:eastAsia="仿宋_GB2312"/>
          <w:kern w:val="0"/>
          <w:sz w:val="24"/>
          <w:lang w:val="en-US" w:eastAsia="zh-CN"/>
        </w:rPr>
        <w:t>14</w:t>
      </w:r>
      <w:r>
        <w:rPr>
          <w:rFonts w:hint="eastAsia" w:eastAsia="仿宋_GB2312"/>
          <w:kern w:val="0"/>
          <w:sz w:val="24"/>
        </w:rPr>
        <w:t>日（不含</w:t>
      </w:r>
      <w:r>
        <w:rPr>
          <w:rFonts w:hint="eastAsia" w:eastAsia="仿宋_GB2312"/>
          <w:kern w:val="0"/>
          <w:sz w:val="24"/>
          <w:lang w:val="en-US" w:eastAsia="zh-CN"/>
        </w:rPr>
        <w:t>9</w:t>
      </w:r>
      <w:r>
        <w:rPr>
          <w:rFonts w:hint="eastAsia" w:eastAsia="仿宋_GB2312"/>
          <w:kern w:val="0"/>
          <w:sz w:val="24"/>
        </w:rPr>
        <w:t>月</w:t>
      </w:r>
      <w:r>
        <w:rPr>
          <w:rFonts w:hint="eastAsia" w:eastAsia="仿宋_GB2312"/>
          <w:kern w:val="0"/>
          <w:sz w:val="24"/>
          <w:lang w:val="en-US" w:eastAsia="zh-CN"/>
        </w:rPr>
        <w:t>14</w:t>
      </w:r>
      <w:r>
        <w:rPr>
          <w:rFonts w:hint="eastAsia" w:eastAsia="仿宋_GB2312"/>
          <w:kern w:val="0"/>
          <w:sz w:val="24"/>
        </w:rPr>
        <w:t>日）以后出生。</w:t>
      </w:r>
      <w:r>
        <w:rPr>
          <w:rFonts w:hint="eastAsia" w:eastAsia="仿宋_GB2312"/>
          <w:kern w:val="0"/>
          <w:sz w:val="24"/>
          <w:lang w:val="en-US" w:eastAsia="zh-CN"/>
        </w:rPr>
        <w:t xml:space="preserve">  </w:t>
      </w:r>
    </w:p>
    <w:sectPr>
      <w:footerReference r:id="rId5" w:type="default"/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  惊抓抓 " w:date="2026-09-09T10:24:00Z" w:initials="">
    <w:p w14:paraId="45A595DC">
      <w:pPr>
        <w:pStyle w:val="7"/>
      </w:pPr>
      <w:r>
        <w:rPr>
          <w:rFonts w:hint="eastAsia"/>
        </w:rPr>
        <w:t>与注1矛盾，请核实</w:t>
      </w:r>
    </w:p>
    <w:p w14:paraId="20EEF4F0">
      <w:pPr>
        <w:pStyle w:val="7"/>
      </w:pPr>
    </w:p>
  </w:comment>
  <w:comment w:id="1" w:author="  惊抓抓 " w:date="2026-09-09T10:24:00Z" w:initials="">
    <w:p w14:paraId="1C23B0FA">
      <w:pPr>
        <w:pStyle w:val="7"/>
      </w:pPr>
      <w:r>
        <w:rPr>
          <w:rFonts w:hint="eastAsia"/>
        </w:rPr>
        <w:t>与注1矛盾，请核实</w:t>
      </w:r>
    </w:p>
  </w:comment>
  <w:comment w:id="2" w:author="  惊抓抓 " w:date="2026-09-09T10:24:00Z" w:initials="">
    <w:p w14:paraId="38E00815">
      <w:pPr>
        <w:pStyle w:val="7"/>
      </w:pPr>
      <w:r>
        <w:rPr>
          <w:rFonts w:ascii="Segoe UI" w:hAnsi="Segoe UI" w:eastAsia="Segoe UI" w:cs="Segoe UI"/>
          <w:color w:val="0F1115"/>
          <w:sz w:val="24"/>
          <w:shd w:val="clear" w:color="auto" w:fill="FFFFFF"/>
        </w:rPr>
        <w:t>根据2022年新版研究生教育学科专业目录，艺术设计已调整为“1357 设计</w:t>
      </w:r>
      <w:r>
        <w:rPr>
          <w:rFonts w:hint="eastAsia" w:ascii="Segoe UI" w:hAnsi="Segoe UI" w:cs="Segoe UI"/>
          <w:color w:val="0F1115"/>
          <w:sz w:val="24"/>
          <w:shd w:val="clear" w:color="auto" w:fill="FFFFFF"/>
        </w:rPr>
        <w:t>，请核实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0EEF4F0" w15:done="0"/>
  <w15:commentEx w15:paraId="1C23B0FA" w15:done="0"/>
  <w15:commentEx w15:paraId="38E0081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F297B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81E8D5">
                          <w:pPr>
                            <w:pStyle w:val="7"/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11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81E8D5">
                    <w:pPr>
                      <w:pStyle w:val="7"/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11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  惊抓抓 ">
    <w15:presenceInfo w15:providerId="WPS Office" w15:userId="8199118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721F6"/>
    <w:rsid w:val="00094F72"/>
    <w:rsid w:val="002E741B"/>
    <w:rsid w:val="002F74D6"/>
    <w:rsid w:val="00437812"/>
    <w:rsid w:val="0049699F"/>
    <w:rsid w:val="004F7CE1"/>
    <w:rsid w:val="00A75C2E"/>
    <w:rsid w:val="083923B0"/>
    <w:rsid w:val="126B6448"/>
    <w:rsid w:val="143721F6"/>
    <w:rsid w:val="1DE1357A"/>
    <w:rsid w:val="217860F7"/>
    <w:rsid w:val="2C147986"/>
    <w:rsid w:val="2D6151BF"/>
    <w:rsid w:val="2F5B1C37"/>
    <w:rsid w:val="3489363D"/>
    <w:rsid w:val="434F0F06"/>
    <w:rsid w:val="577742CD"/>
    <w:rsid w:val="5CFF327B"/>
    <w:rsid w:val="5FDB40B6"/>
    <w:rsid w:val="64E71EC5"/>
    <w:rsid w:val="66922DDE"/>
    <w:rsid w:val="692E6D9C"/>
    <w:rsid w:val="6B7632CC"/>
    <w:rsid w:val="6E1359E0"/>
    <w:rsid w:val="6F66240E"/>
    <w:rsid w:val="73217FC1"/>
    <w:rsid w:val="75BB797B"/>
    <w:rsid w:val="765F37BA"/>
    <w:rsid w:val="7ADBDC60"/>
    <w:rsid w:val="B7BFA294"/>
    <w:rsid w:val="BFFB48E6"/>
    <w:rsid w:val="F3FC2830"/>
    <w:rsid w:val="F7E3E693"/>
    <w:rsid w:val="FF30F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Times New Roman"/>
      <w:sz w:val="28"/>
    </w:rPr>
  </w:style>
  <w:style w:type="paragraph" w:customStyle="1" w:styleId="3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Salutation"/>
    <w:basedOn w:val="1"/>
    <w:next w:val="1"/>
    <w:qFormat/>
    <w:uiPriority w:val="0"/>
  </w:style>
  <w:style w:type="paragraph" w:styleId="6">
    <w:name w:val="Balloon Text"/>
    <w:basedOn w:val="1"/>
    <w:link w:val="14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qFormat/>
    <w:uiPriority w:val="0"/>
    <w:rPr>
      <w:sz w:val="21"/>
      <w:szCs w:val="21"/>
    </w:rPr>
  </w:style>
  <w:style w:type="paragraph" w:customStyle="1" w:styleId="13">
    <w:name w:val="引用2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character" w:customStyle="1" w:styleId="14">
    <w:name w:val="批注框文本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眉 Char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739</Words>
  <Characters>934</Characters>
  <Lines>25</Lines>
  <Paragraphs>15</Paragraphs>
  <TotalTime>13</TotalTime>
  <ScaleCrop>false</ScaleCrop>
  <LinksUpToDate>false</LinksUpToDate>
  <CharactersWithSpaces>995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2026-05-14T10:26:00Z</dcterms:created>
  <dc:creator>realistic</dc:creator>
  <cp:lastModifiedBy>琴声</cp:lastModifiedBy>
  <cp:lastPrinted>2026-09-09T12:23:00Z</cp:lastPrinted>
  <dcterms:modified xsi:type="dcterms:W3CDTF">2026-09-17T08:12:03Z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F642CDA4977C473EB9DE6F081861C107_13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